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F77BFA" w:rsidRDefault="00034E0C" w:rsidP="00AC25B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0B66FB9-7294-4789-A6CE-97595FFB924B" style="width:450.9pt;height:408.6pt">
            <v:imagedata r:id="rId7" o:title=""/>
          </v:shape>
        </w:pict>
      </w:r>
    </w:p>
    <w:p w:rsidR="002402D9" w:rsidRPr="00F77BFA" w:rsidRDefault="002402D9">
      <w:pPr>
        <w:sectPr w:rsidR="002402D9" w:rsidRPr="00F77BFA" w:rsidSect="000A385F">
          <w:footerReference w:type="default" r:id="rId8"/>
          <w:pgSz w:w="11907" w:h="16839"/>
          <w:pgMar w:top="1134" w:right="1417" w:bottom="1134" w:left="1417" w:header="709" w:footer="709" w:gutter="0"/>
          <w:pgNumType w:start="0"/>
          <w:cols w:space="720"/>
          <w:docGrid w:linePitch="360"/>
        </w:sectPr>
      </w:pPr>
    </w:p>
    <w:p w:rsidR="002402D9" w:rsidRPr="00F77BFA" w:rsidRDefault="00AC25B2" w:rsidP="00AC25B2">
      <w:pPr>
        <w:pStyle w:val="Typedudocument"/>
      </w:pPr>
      <w:r w:rsidRPr="00AC25B2">
        <w:lastRenderedPageBreak/>
        <w:t>KOMMISSIONENS GENOMFÖRANDEBESLUT (EU) …/…</w:t>
      </w:r>
    </w:p>
    <w:p w:rsidR="002402D9" w:rsidRPr="00F77BFA" w:rsidRDefault="00AC25B2" w:rsidP="00AC25B2">
      <w:pPr>
        <w:pStyle w:val="Datedadoption"/>
      </w:pPr>
      <w:r w:rsidRPr="00AC25B2">
        <w:t xml:space="preserve">av den </w:t>
      </w:r>
      <w:r w:rsidRPr="00AC25B2">
        <w:rPr>
          <w:rStyle w:val="Marker2"/>
        </w:rPr>
        <w:t>XXX</w:t>
      </w:r>
    </w:p>
    <w:p w:rsidR="002402D9" w:rsidRPr="00F77BFA" w:rsidRDefault="00AC25B2" w:rsidP="00AC25B2">
      <w:pPr>
        <w:pStyle w:val="Titreobjet"/>
      </w:pPr>
      <w:r w:rsidRPr="00AC25B2">
        <w:t>om standardavtalsklausuler mellan personuppgiftsansvariga och personuppgiftsbiträden enligt artikel 28.7 i Europaparlamentets och rådets förordning (EU) 2016/679 och artikel 29.7 i Europaparlamentets och rådets förordning (EU) 2018/1725</w:t>
      </w:r>
    </w:p>
    <w:p w:rsidR="002402D9" w:rsidRPr="00F77BFA" w:rsidRDefault="00AC25B2" w:rsidP="00AC25B2">
      <w:pPr>
        <w:pStyle w:val="IntrtEEE"/>
      </w:pPr>
      <w:r w:rsidRPr="00AC25B2">
        <w:t>(Text av betydelse för EES)</w:t>
      </w:r>
    </w:p>
    <w:p w:rsidR="002402D9" w:rsidRPr="00F77BFA" w:rsidRDefault="002402D9" w:rsidP="002402D9">
      <w:pPr>
        <w:pStyle w:val="Institutionquiagit"/>
      </w:pPr>
      <w:r w:rsidRPr="00F77BFA">
        <w:t>EUROPEISKA KOMMISSIONEN HAR ANTAGIT DETTA BESLUT</w:t>
      </w:r>
    </w:p>
    <w:p w:rsidR="002402D9" w:rsidRPr="00F77BFA" w:rsidRDefault="002402D9" w:rsidP="002402D9">
      <w:r w:rsidRPr="00F77BFA">
        <w:rPr>
          <w:color w:val="000000"/>
        </w:rPr>
        <w:t>med beaktande av fördraget om Europeiska unionens funktionssätt</w:t>
      </w:r>
      <w:r w:rsidRPr="00F77BFA">
        <w:t>,</w:t>
      </w:r>
    </w:p>
    <w:p w:rsidR="002402D9" w:rsidRPr="00F77BFA" w:rsidRDefault="002402D9" w:rsidP="002402D9">
      <w:r w:rsidRPr="00F77BFA">
        <w:t>med beaktande av Europaparlamentets och rådets förordning (EU) 2016/679 av den 27 april 2016 om skydd för fysiska personer med avseende på behandling av personuppgifter och om det fria flödet av sådana uppgifter och om upphävande av direktiv 95/46/EG (allmän dataskyddsförordning)</w:t>
      </w:r>
      <w:r w:rsidRPr="00F77BFA">
        <w:rPr>
          <w:rStyle w:val="FootnoteReference"/>
        </w:rPr>
        <w:footnoteReference w:id="1"/>
      </w:r>
      <w:r w:rsidRPr="00F77BFA">
        <w:t xml:space="preserve">, särskilt artikel 28.7, </w:t>
      </w:r>
    </w:p>
    <w:p w:rsidR="002402D9" w:rsidRPr="00F77BFA" w:rsidRDefault="002402D9" w:rsidP="002402D9">
      <w:r w:rsidRPr="00F77BFA">
        <w:t>med beaktande av 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w:t>
      </w:r>
      <w:r w:rsidRPr="00F77BFA">
        <w:rPr>
          <w:rStyle w:val="FootnoteReference"/>
        </w:rPr>
        <w:footnoteReference w:id="2"/>
      </w:r>
      <w:r w:rsidRPr="00F77BFA">
        <w:t>, särskilt artikel 29.7, och</w:t>
      </w:r>
    </w:p>
    <w:p w:rsidR="002402D9" w:rsidRPr="00F77BFA" w:rsidRDefault="002402D9" w:rsidP="002402D9">
      <w:r w:rsidRPr="00F77BFA">
        <w:t>av följande skäl:</w:t>
      </w:r>
    </w:p>
    <w:p w:rsidR="002402D9" w:rsidRPr="00F77BFA" w:rsidRDefault="002402D9" w:rsidP="00364079">
      <w:pPr>
        <w:pStyle w:val="Considrant"/>
        <w:numPr>
          <w:ilvl w:val="0"/>
          <w:numId w:val="1"/>
        </w:numPr>
      </w:pPr>
      <w:r w:rsidRPr="00F77BFA">
        <w:t>Begreppen personuppgiftsansvarig och personuppgiftsbiträde har en central roll vid tillämpningen av förordning (EU) 2016/679 och förordning (EU) 2018/1725. Den personuppgiftsansvarige är en fysisk eller juridisk person, offentlig myndighet, institution eller annat organ som ensamt eller tillsammans med andra bestämmer ändamålen och medlen för behandlingen av personuppgifter. Vid tillämpning av förordning (EU) 2018/1725 avses med personuppgiftsansvarig den unionsinstitution eller det unionsorgan eller det generaldirektorat eller varje annan organisatorisk enhet som ensam(t) eller tillsammans med andra bestämmer ändamålen och medlen för behandlingen av personuppgifter. Om ändamålen och medlen för denna behandling bestäms av en särskild unionsakt kan den personuppgiftsansvarige eller de särskilda kriterierna för utnämning av personuppgiftsansvarig föreskrivas i unionsrätten. Ett personuppgiftsbiträde är en fysisk eller juridisk person, offentlig myndighet, institution eller annat organ som behandlar personuppgifter för den personuppgiftsansvariges räkning.</w:t>
      </w:r>
    </w:p>
    <w:p w:rsidR="002402D9" w:rsidRPr="00F77BFA" w:rsidRDefault="002402D9" w:rsidP="009237D1">
      <w:pPr>
        <w:pStyle w:val="Considrant"/>
      </w:pPr>
      <w:r w:rsidRPr="00F77BFA">
        <w:t xml:space="preserve">Samma uppsättning standardavtalsklausuler bör vara tillämpliga med avseende på förhållandet mellan personuppgiftsansvariga och personuppgiftsbiträden som omfattas av förordning (EU) 2016/679 och även när de omfattas av förordning (EU) 2018/1725. Detta beror på att bestämmelserna om skydd av personuppgifter i förordning (EU) 2016/679, som gäller för den offentliga sektorn i medlemsstaterna, och bestämmelserna om skydd av personuppgifter i förordning (EU) 2018/1725, som gäller för unionens institutioner, organ och byråer, så långt som möjligt har anpassats till varandra för att främja en konsekvent strategi för skyddet av personuppgifter i hela unionen och det fria flödet av personuppgifter inom unionen. </w:t>
      </w:r>
    </w:p>
    <w:p w:rsidR="002402D9" w:rsidRPr="00F77BFA" w:rsidRDefault="002402D9" w:rsidP="002402D9">
      <w:pPr>
        <w:pStyle w:val="Considrant"/>
      </w:pPr>
      <w:r w:rsidRPr="00F77BFA">
        <w:t>För att säkerställa att kraven i förordning (EU) 2016/679 och förordning (EU) 2018/1725 uppfylls, bör den personuppgiftsansvarige, när denne anförtror behandling åt ett personuppgiftsbiträde, endast använda personuppgiftsbiträden som ger tillräckliga garantier, i synnerhet i fråga om sakkunskap, tillförlitlighet och resurser, för att genomföra tekniska och organisatoriska åtgärder som uppfyller kraven i förordning (EU) 2016/679 och förordning (EU) 2018/1725, bl.a. vad gäller säkerhet i samband med behandlingen av uppgifter</w:t>
      </w:r>
      <w:r w:rsidRPr="00F77BFA">
        <w:rPr>
          <w:i/>
        </w:rPr>
        <w:t>.</w:t>
      </w:r>
    </w:p>
    <w:p w:rsidR="002402D9" w:rsidRPr="00F77BFA" w:rsidRDefault="002402D9" w:rsidP="002402D9">
      <w:pPr>
        <w:pStyle w:val="Considrant"/>
      </w:pPr>
      <w:r w:rsidRPr="00F77BFA">
        <w:t>När uppgifter behandlas av ett personuppgiftsbiträde ska behandlingen regleras genom ett avtal eller en annan rättsakt enligt unionsrätten eller enligt medlemsstaternas nationella rätt som är bindande för personuppgiftsbiträdet med avseende på den personuppgiftsansvarige och som innehåller de delar som förtecknas i artikel 28.3 och 28.4 i förordning (EU) 2016/679 eller artikel 29.3 och 29.4 i förordning (EU) 2018/1725. Avtalet eller rättsakten bör upprättas skriftligen, inbegripet i ett elektroniskt format.</w:t>
      </w:r>
    </w:p>
    <w:p w:rsidR="002402D9" w:rsidRPr="00F77BFA" w:rsidRDefault="002402D9" w:rsidP="002402D9">
      <w:pPr>
        <w:pStyle w:val="Considrant"/>
      </w:pPr>
      <w:r w:rsidRPr="00F77BFA">
        <w:t xml:space="preserve">I enlighet med artikel 28.6 i förordning (EU) 2016/679 och artikel 29.6 i förordning (EU) 2018/1725 får den personuppgiftsansvarige och personuppgiftsbiträdet välja att förhandla fram ett enskilt avtal som innehåller de obligatoriska delar som anges i artikel 28.3 och 28.4 i förordning (EU) 2016/679 respektive artikel 29.3 och 29.4 i förordning (EU) 2018/1725, eller att helt eller delvis använda standardavtalsklausuler som antagits av kommissionen i enlighet med artikel 28.7 i förordning (EU) 2016/679 och artikel 29.7 i förordning (EU) 2018/1725. </w:t>
      </w:r>
    </w:p>
    <w:p w:rsidR="002402D9" w:rsidRPr="00F77BFA" w:rsidRDefault="002402D9" w:rsidP="002402D9">
      <w:pPr>
        <w:pStyle w:val="Considrant"/>
      </w:pPr>
      <w:r w:rsidRPr="00F77BFA">
        <w:t>Det bör stå den personuppgiftsansvarige och personuppgiftsbiträdet fritt att inkludera standardavtalsklausulerna i detta beslut i ett mer omfattande avtal och att lägga till andra klausuler eller ytterligare skyddsåtgärder, förutsatt att de inte direkt eller indirekt strider mot standardavtalsklausulerna eller påverkar de registrerades grundläggande rättigheter och friheter. Användning av standardavtalsklausulerna påverkar inte eventuella avtalsförpliktelser som den personuppgiftsansvarige och/eller personuppgiftsbiträdet har för att säkerställa att tillämpliga privilegier och immuniteter iakttas.</w:t>
      </w:r>
    </w:p>
    <w:p w:rsidR="002402D9" w:rsidRPr="00F77BFA" w:rsidRDefault="002402D9" w:rsidP="002402D9">
      <w:pPr>
        <w:pStyle w:val="Considrant"/>
      </w:pPr>
      <w:r w:rsidRPr="00F77BFA">
        <w:t xml:space="preserve">Standardavtalsklausulerna bör omfatta både materiella och processuella bestämmelser. I enlighet med artikel 28.3 i förordning (EU) 2016/679 och artikel 29.3 i förordning (EU) 2018/1725 bör det i standardavtalsklausulerna även krävas att den personuppgiftsansvarige och personuppgiftsbiträdet anger föremålet för behandlingen, behandlingens varaktighet, art och ändamål, typen av personuppgifter, kategorier av registrerade och den personuppgiftsansvariges skyldigheter och rättigheter. </w:t>
      </w:r>
    </w:p>
    <w:p w:rsidR="002402D9" w:rsidRPr="00F77BFA" w:rsidRDefault="002402D9" w:rsidP="002402D9">
      <w:pPr>
        <w:pStyle w:val="Considrant"/>
      </w:pPr>
      <w:r w:rsidRPr="00F77BFA">
        <w:t>I enlighet med artikel 28.3 i förordning (EU) 2016/679 och artikel 29.3 i förordning (EU) 2018/1725 måste personuppgiftsbiträdet omedelbart informera den personuppgiftsansvarige om denne anser att en instruktion från den personuppgiftsansvarige strider mot förordning (EU) 2016/679 eller förordning (EU) 2018/1725 eller mot andra av unionens eller medlemsstaternas dataskyddsbestämmelser.</w:t>
      </w:r>
    </w:p>
    <w:p w:rsidR="002402D9" w:rsidRPr="00F77BFA" w:rsidRDefault="005D6D0A" w:rsidP="002402D9">
      <w:pPr>
        <w:pStyle w:val="Considrant"/>
      </w:pPr>
      <w:r w:rsidRPr="00F77BFA">
        <w:t xml:space="preserve">Om ett personuppgiftsbiträde anlitar ett annat personuppgiftsbiträde för att utföra specifika uppgifter bör de särskilda krav som avses i artikel 28.2 och 28.4 i förordning (EU) 2016/679 eller artikel 29.2 och 29.4 i förordning (EU) 2018/1725 tillämpas. I synnerhet krävs ett särskilt eller allmänt skriftligt förhandstillstånd. Oberoende huruvida det är frågan om ett särskilt eller allmänt förhandstillstånd, bör det första personuppgiftsbiträdet hålla en förteckning över andra personuppgiftsbiträden uppdaterad. </w:t>
      </w:r>
    </w:p>
    <w:p w:rsidR="002402D9" w:rsidRPr="00F77BFA" w:rsidRDefault="002402D9" w:rsidP="002402D9">
      <w:pPr>
        <w:pStyle w:val="Considrant"/>
      </w:pPr>
      <w:r w:rsidRPr="00F77BFA">
        <w:t xml:space="preserve">För att uppfylla kraven i artikel 46.1 i förordning (EU) 2016/679 har kommissionen antagit standardavtalsklausuler i enlighet med artikel 46.2 c i förordning (EU) 2016/679. Dessa klausuler uppfyller även kraven i artikel 28.3 och 28.4 i förordning (EU) 2016/679 för överföringar av uppgifter från personuppgiftsansvariga som omfattas av förordning (EU) 2016/679 till personuppgiftsbiträden utanför den förordningens territoriella tillämpningsområde eller från personuppgiftsbiträden som omfattas av förordning (EU) 2016/679 till underleverantörer utanför den förordningens territoriella tillämpningsområde. Dessa standardavtalsklausuler kan inte användas som standardavtalsklausuler i den mening som avses i kapitel V i förordning (EU) 2016/679. </w:t>
      </w:r>
    </w:p>
    <w:p w:rsidR="002402D9" w:rsidRPr="00F77BFA" w:rsidRDefault="002402D9" w:rsidP="002402D9">
      <w:pPr>
        <w:pStyle w:val="Considrant"/>
      </w:pPr>
      <w:r w:rsidRPr="00F77BFA">
        <w:t>Tredje parter bör kunna bli parter i standardavtalsklausulerna under avtalets hela löptid.</w:t>
      </w:r>
    </w:p>
    <w:p w:rsidR="002402D9" w:rsidRPr="00F77BFA" w:rsidRDefault="002402D9" w:rsidP="002402D9">
      <w:pPr>
        <w:pStyle w:val="Considrant"/>
      </w:pPr>
      <w:r w:rsidRPr="00F77BFA">
        <w:t xml:space="preserve">Standardavtalsklausulernas tillämpning bör utvärderas som en del av den regelbundna utvärderingen av förordning (EU) 2016/679 enligt artikel 97 i den förordningen. </w:t>
      </w:r>
    </w:p>
    <w:p w:rsidR="002402D9" w:rsidRPr="00F77BFA" w:rsidRDefault="00EA7EE3" w:rsidP="00EA7EE3">
      <w:pPr>
        <w:pStyle w:val="Considrant"/>
      </w:pPr>
      <w:r w:rsidRPr="00F77BFA">
        <w:t xml:space="preserve"> Europeiska datatillsynsmannen och Europeiska dataskyddsstyrelsen har hörts i enlighet med artikel 42.1 och 42.2 i förordning (EU) 2018/1725 och har avgett ett [gemensamt yttrande] den 14 januari 2021</w:t>
      </w:r>
      <w:r w:rsidRPr="00F77BFA">
        <w:rPr>
          <w:rStyle w:val="FootnoteReference"/>
        </w:rPr>
        <w:footnoteReference w:id="3"/>
      </w:r>
      <w:r w:rsidRPr="00F77BFA">
        <w:t>, vilket har beaktats vid utarbetandet av detta beslut.</w:t>
      </w:r>
    </w:p>
    <w:p w:rsidR="002402D9" w:rsidRPr="00F77BFA" w:rsidRDefault="002402D9" w:rsidP="002402D9">
      <w:pPr>
        <w:pStyle w:val="Considrant"/>
      </w:pPr>
      <w:r w:rsidRPr="00F77BFA">
        <w:t>De åtgärder som föreskrivs i detta beslut följer yttrandet från den kommitté som inrättats enligt artikel 93 i förordning (EU) 2016/679 respektive artikel 96.2 i förordning (EU) 2018/1725.</w:t>
      </w:r>
    </w:p>
    <w:p w:rsidR="002402D9" w:rsidRPr="00F77BFA" w:rsidRDefault="002402D9" w:rsidP="002402D9">
      <w:pPr>
        <w:pStyle w:val="Formuledadoption"/>
      </w:pPr>
      <w:r w:rsidRPr="00F77BFA">
        <w:t xml:space="preserve">HÄRIGENOM FÖRESKRIVS FÖLJANDE. </w:t>
      </w:r>
    </w:p>
    <w:p w:rsidR="002402D9" w:rsidRPr="00F77BFA" w:rsidRDefault="002402D9" w:rsidP="002402D9">
      <w:pPr>
        <w:pStyle w:val="Titrearticle"/>
      </w:pPr>
      <w:r w:rsidRPr="00F77BFA">
        <w:t>Artikel 1</w:t>
      </w:r>
    </w:p>
    <w:p w:rsidR="002402D9" w:rsidRPr="00F77BFA" w:rsidRDefault="002402D9" w:rsidP="002402D9">
      <w:r w:rsidRPr="00F77BFA">
        <w:t>Standardavtalsklausulerna i bilagan uppfyller kraven för avtal mellan personuppgiftsansvariga och personuppgiftsbiträden i artikel 28.3 och 28.4 i förordning (EU) 2016/679 och i artikel 29.3 och 29.4 i förordning (EU) 2018/1725.</w:t>
      </w:r>
    </w:p>
    <w:p w:rsidR="002402D9" w:rsidRPr="00F77BFA" w:rsidRDefault="002402D9" w:rsidP="002402D9">
      <w:pPr>
        <w:pStyle w:val="Titrearticle"/>
      </w:pPr>
      <w:r w:rsidRPr="00F77BFA">
        <w:t>Artikel 2</w:t>
      </w:r>
    </w:p>
    <w:p w:rsidR="002402D9" w:rsidRPr="00F77BFA" w:rsidRDefault="002402D9" w:rsidP="002402D9">
      <w:r w:rsidRPr="00F77BFA">
        <w:t xml:space="preserve">Standardavtalsklausulerna i bilagan får användas i avtal mellan en personuppgiftsansvarig och ett personuppgiftsbiträde som behandlar personuppgifter för den personuppgiftsansvariges räkning. </w:t>
      </w:r>
    </w:p>
    <w:p w:rsidR="002402D9" w:rsidRPr="00F77BFA" w:rsidRDefault="002402D9" w:rsidP="002402D9">
      <w:pPr>
        <w:pStyle w:val="Titrearticle"/>
      </w:pPr>
      <w:r w:rsidRPr="00F77BFA">
        <w:t>Artikel 3</w:t>
      </w:r>
    </w:p>
    <w:p w:rsidR="002402D9" w:rsidRPr="00F77BFA" w:rsidRDefault="002402D9" w:rsidP="002402D9">
      <w:pPr>
        <w:rPr>
          <w:rFonts w:eastAsia="Calibri"/>
        </w:rPr>
      </w:pPr>
      <w:r w:rsidRPr="00F77BFA">
        <w:t xml:space="preserve">Kommissionen ska utvärdera den praktiska tillämpningen av standardavtalsklausulerna i bilagan på grundval av all tillgänglig information som en del av den regelbundna utvärdering som föreskrivs i artikel 97 i förordning (EU) 2016/679. </w:t>
      </w:r>
    </w:p>
    <w:p w:rsidR="002402D9" w:rsidRPr="00F77BFA" w:rsidRDefault="002402D9" w:rsidP="002402D9">
      <w:pPr>
        <w:pStyle w:val="Titrearticle"/>
      </w:pPr>
      <w:r w:rsidRPr="00F77BFA">
        <w:t>Artikel 4</w:t>
      </w:r>
    </w:p>
    <w:p w:rsidR="003A69A2" w:rsidRPr="00F77BFA" w:rsidRDefault="003A69A2" w:rsidP="00135D70">
      <w:r w:rsidRPr="00F77BFA">
        <w:t xml:space="preserve">Detta beslut träder i kraft den tjugonde dagen efter det att det har offentliggjorts i </w:t>
      </w:r>
      <w:r w:rsidRPr="00F77BFA">
        <w:rPr>
          <w:i/>
          <w:iCs/>
        </w:rPr>
        <w:t>Europeiska unionens officiella tidning</w:t>
      </w:r>
      <w:r w:rsidRPr="00F77BFA">
        <w:t>.</w:t>
      </w:r>
    </w:p>
    <w:p w:rsidR="002402D9" w:rsidRPr="00F77BFA" w:rsidRDefault="00AC25B2" w:rsidP="00AC25B2">
      <w:pPr>
        <w:pStyle w:val="Fait"/>
      </w:pPr>
      <w:r w:rsidRPr="00AC25B2">
        <w:t>Utfärdat i Bryssel den</w:t>
      </w:r>
    </w:p>
    <w:p w:rsidR="002402D9" w:rsidRPr="00F77BFA" w:rsidRDefault="002402D9" w:rsidP="002402D9">
      <w:pPr>
        <w:pStyle w:val="Institutionquisigne"/>
        <w:rPr>
          <w:color w:val="000000" w:themeColor="text1"/>
        </w:rPr>
      </w:pPr>
      <w:r w:rsidRPr="00F77BFA">
        <w:tab/>
      </w:r>
      <w:r w:rsidRPr="00F77BFA">
        <w:rPr>
          <w:color w:val="000000" w:themeColor="text1"/>
        </w:rPr>
        <w:t>På kommissionens vägnar</w:t>
      </w:r>
    </w:p>
    <w:p w:rsidR="002402D9" w:rsidRPr="00F77BFA" w:rsidRDefault="002402D9" w:rsidP="002402D9">
      <w:pPr>
        <w:pStyle w:val="Personnequisigne"/>
      </w:pPr>
      <w:r w:rsidRPr="00F77BFA">
        <w:tab/>
        <w:t>Ursula VON DER LEYEN</w:t>
      </w:r>
    </w:p>
    <w:p w:rsidR="002402D9" w:rsidRPr="00F77BFA" w:rsidRDefault="002402D9" w:rsidP="00F476B5">
      <w:pPr>
        <w:pStyle w:val="Personnequisigne"/>
        <w:rPr>
          <w:color w:val="000000" w:themeColor="text1"/>
        </w:rPr>
      </w:pPr>
      <w:r w:rsidRPr="00F77BFA">
        <w:tab/>
      </w:r>
      <w:r w:rsidRPr="00F77BFA">
        <w:rPr>
          <w:color w:val="000000" w:themeColor="text1"/>
        </w:rPr>
        <w:t xml:space="preserve">Ordförande </w:t>
      </w:r>
    </w:p>
    <w:sectPr w:rsidR="002402D9" w:rsidRPr="00F77BFA" w:rsidSect="000A385F">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5B2" w:rsidRPr="000A385F" w:rsidRDefault="000A385F" w:rsidP="000A385F">
    <w:pPr>
      <w:pStyle w:val="Footer"/>
      <w:rPr>
        <w:rFonts w:ascii="Arial" w:hAnsi="Arial" w:cs="Arial"/>
        <w:b/>
        <w:sz w:val="48"/>
      </w:rPr>
    </w:pPr>
    <w:r w:rsidRPr="000A385F">
      <w:rPr>
        <w:rFonts w:ascii="Arial" w:hAnsi="Arial" w:cs="Arial"/>
        <w:b/>
        <w:sz w:val="48"/>
      </w:rPr>
      <w:t>SV</w:t>
    </w:r>
    <w:r w:rsidRPr="000A385F">
      <w:rPr>
        <w:rFonts w:ascii="Arial" w:hAnsi="Arial" w:cs="Arial"/>
        <w:b/>
        <w:sz w:val="48"/>
      </w:rPr>
      <w:tab/>
    </w:r>
    <w:r w:rsidRPr="000A385F">
      <w:rPr>
        <w:rFonts w:ascii="Arial" w:hAnsi="Arial" w:cs="Arial"/>
        <w:b/>
        <w:sz w:val="48"/>
      </w:rPr>
      <w:tab/>
    </w:r>
    <w:r w:rsidRPr="000A385F">
      <w:tab/>
    </w:r>
    <w:r w:rsidRPr="000A385F">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85F" w:rsidRPr="000A385F" w:rsidRDefault="000A385F" w:rsidP="000A385F">
    <w:pPr>
      <w:pStyle w:val="Footer"/>
      <w:rPr>
        <w:rFonts w:ascii="Arial" w:hAnsi="Arial" w:cs="Arial"/>
        <w:b/>
        <w:sz w:val="48"/>
      </w:rPr>
    </w:pPr>
    <w:r w:rsidRPr="000A385F">
      <w:rPr>
        <w:rFonts w:ascii="Arial" w:hAnsi="Arial" w:cs="Arial"/>
        <w:b/>
        <w:sz w:val="48"/>
      </w:rPr>
      <w:t>SV</w:t>
    </w:r>
    <w:r w:rsidRPr="000A385F">
      <w:rPr>
        <w:rFonts w:ascii="Arial" w:hAnsi="Arial" w:cs="Arial"/>
        <w:b/>
        <w:sz w:val="48"/>
      </w:rPr>
      <w:tab/>
    </w:r>
    <w:r>
      <w:fldChar w:fldCharType="begin"/>
    </w:r>
    <w:r>
      <w:instrText xml:space="preserve"> PAGE  \* MERGEFORMAT </w:instrText>
    </w:r>
    <w:r>
      <w:fldChar w:fldCharType="separate"/>
    </w:r>
    <w:r w:rsidR="00034E0C">
      <w:rPr>
        <w:noProof/>
      </w:rPr>
      <w:t>1</w:t>
    </w:r>
    <w:r>
      <w:fldChar w:fldCharType="end"/>
    </w:r>
    <w:r>
      <w:tab/>
    </w:r>
    <w:r w:rsidRPr="000A385F">
      <w:tab/>
    </w:r>
    <w:r w:rsidRPr="000A385F">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85F" w:rsidRPr="000A385F" w:rsidRDefault="000A385F" w:rsidP="000A3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F77BFA" w:rsidRDefault="002402D9" w:rsidP="002402D9">
      <w:pPr>
        <w:pStyle w:val="FootnoteText"/>
        <w:ind w:left="284" w:hanging="284"/>
        <w:rPr>
          <w:lang w:val="fr-BE"/>
        </w:rPr>
      </w:pPr>
      <w:r>
        <w:rPr>
          <w:rStyle w:val="FootnoteReference"/>
        </w:rPr>
        <w:footnoteRef/>
      </w:r>
      <w:r w:rsidRPr="00F77BFA">
        <w:rPr>
          <w:lang w:val="fr-BE"/>
        </w:rPr>
        <w:tab/>
        <w:t>EUT L 119, 4.5.2016, s. 1.</w:t>
      </w:r>
    </w:p>
  </w:footnote>
  <w:footnote w:id="2">
    <w:p w:rsidR="002402D9" w:rsidRPr="00F77BFA" w:rsidRDefault="002402D9" w:rsidP="002402D9">
      <w:pPr>
        <w:pStyle w:val="FootnoteText"/>
        <w:ind w:left="284" w:hanging="284"/>
        <w:rPr>
          <w:lang w:val="fr-BE"/>
        </w:rPr>
      </w:pPr>
      <w:r>
        <w:rPr>
          <w:rStyle w:val="FootnoteReference"/>
        </w:rPr>
        <w:footnoteRef/>
      </w:r>
      <w:r w:rsidRPr="00F77BFA">
        <w:rPr>
          <w:lang w:val="fr-BE"/>
        </w:rPr>
        <w:tab/>
        <w:t>EUT L 295, 21.11.2018, s. 39.</w:t>
      </w:r>
    </w:p>
  </w:footnote>
  <w:footnote w:id="3">
    <w:p w:rsidR="002402D9" w:rsidRPr="003C5835" w:rsidRDefault="002402D9" w:rsidP="00EA7EE3">
      <w:pPr>
        <w:pStyle w:val="FootnoteText"/>
        <w:ind w:left="284" w:hanging="284"/>
      </w:pPr>
      <w:r>
        <w:rPr>
          <w:rStyle w:val="FootnoteReference"/>
        </w:rPr>
        <w:footnoteRef/>
      </w:r>
      <w:r>
        <w:tab/>
        <w:t>Gemensamt yttrande 1/2021 från Europeiska dataskyddsstyrelsen (EDPB) och Europeiska datatillsynsmannen (EDPS) om Europeiska kommissionens genomförandebeslut om standardavtalsklausuler mellan personuppgiftsansvariga och personuppgiftsbiträden för de frågor som avses i artikel 28.7 i förordning (EU) 2016/679 och artikel 29.7 i förordning (EU)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attachedTemplate r:id="rId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58:2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F0B66FB9-7294-4789-A6CE-97595FFB924B"/>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 "/>
    <w:docVar w:name="LW_ID_DOCMODEL" w:val="SJ-032"/>
    <w:docVar w:name="LW_ID_DOCSIGNATURE" w:val="SJ-032"/>
    <w:docVar w:name="LW_ID_DOCSTRUCTURE" w:val="COM/AA"/>
    <w:docVar w:name="LW_ID_DOCTYPE" w:val="SJ-032"/>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standardavtalsklausuler mellan personuppgiftsansvariga och personuppgiftsbiträden enligt artikel 28.7 i Europaparlamentets och rådets förordning (EU) 2016/679 och artikel 29.7 i Europaparlamentets och rådets förordning (EU) 2018/1725"/>
    <w:docVar w:name="LW_TYPE.DOC.CP" w:val="KOMMISSIONENS GENOMFÖRANDEBESLUT (EU) \u8230?/\u8230?"/>
  </w:docVars>
  <w:rsids>
    <w:rsidRoot w:val="002402D9"/>
    <w:rsid w:val="00034E0C"/>
    <w:rsid w:val="000A385F"/>
    <w:rsid w:val="000A7517"/>
    <w:rsid w:val="000E198E"/>
    <w:rsid w:val="00135D70"/>
    <w:rsid w:val="00151F7C"/>
    <w:rsid w:val="001C2816"/>
    <w:rsid w:val="001C5A95"/>
    <w:rsid w:val="002040A1"/>
    <w:rsid w:val="00232E98"/>
    <w:rsid w:val="00237340"/>
    <w:rsid w:val="002402D9"/>
    <w:rsid w:val="00252115"/>
    <w:rsid w:val="002532DA"/>
    <w:rsid w:val="00275FE2"/>
    <w:rsid w:val="002C0FB7"/>
    <w:rsid w:val="002F7AF3"/>
    <w:rsid w:val="00364079"/>
    <w:rsid w:val="003A69A2"/>
    <w:rsid w:val="003C515C"/>
    <w:rsid w:val="0048570C"/>
    <w:rsid w:val="004D6C74"/>
    <w:rsid w:val="004F2DF0"/>
    <w:rsid w:val="005951BB"/>
    <w:rsid w:val="005D6D0A"/>
    <w:rsid w:val="006E1BCC"/>
    <w:rsid w:val="0070128F"/>
    <w:rsid w:val="007B607E"/>
    <w:rsid w:val="007C06F6"/>
    <w:rsid w:val="007D5587"/>
    <w:rsid w:val="00894AF5"/>
    <w:rsid w:val="009237D1"/>
    <w:rsid w:val="00942512"/>
    <w:rsid w:val="00986B33"/>
    <w:rsid w:val="00986D45"/>
    <w:rsid w:val="00987AD5"/>
    <w:rsid w:val="009A12DF"/>
    <w:rsid w:val="009B7138"/>
    <w:rsid w:val="00AB596B"/>
    <w:rsid w:val="00AC25B2"/>
    <w:rsid w:val="00B04DD0"/>
    <w:rsid w:val="00B04E91"/>
    <w:rsid w:val="00B475E2"/>
    <w:rsid w:val="00BE246D"/>
    <w:rsid w:val="00BF17AA"/>
    <w:rsid w:val="00C0028A"/>
    <w:rsid w:val="00C24556"/>
    <w:rsid w:val="00CC49B0"/>
    <w:rsid w:val="00D60C6C"/>
    <w:rsid w:val="00D64D62"/>
    <w:rsid w:val="00D92C25"/>
    <w:rsid w:val="00DC435D"/>
    <w:rsid w:val="00DF46BA"/>
    <w:rsid w:val="00DF6773"/>
    <w:rsid w:val="00DF6971"/>
    <w:rsid w:val="00E37448"/>
    <w:rsid w:val="00EA7EE3"/>
    <w:rsid w:val="00ED3E3C"/>
    <w:rsid w:val="00F20062"/>
    <w:rsid w:val="00F476B5"/>
    <w:rsid w:val="00F77BFA"/>
    <w:rsid w:val="00FC0EF1"/>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sv-SE"/>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sv-SE"/>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2</Pages>
  <Words>1170</Words>
  <Characters>7778</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LINDGREN Katja (DGT)</cp:lastModifiedBy>
  <cp:revision>3</cp:revision>
  <dcterms:created xsi:type="dcterms:W3CDTF">2021-05-21T14:58:00Z</dcterms:created>
  <dcterms:modified xsi:type="dcterms:W3CDTF">2021-05-21T14:58:00Z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